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87788">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足球学院2026年高级足球裁判微专业</w:t>
      </w:r>
    </w:p>
    <w:p w14:paraId="4004136C">
      <w:pPr>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lang w:val="en-US" w:eastAsia="zh-CN"/>
        </w:rPr>
        <w:t>招生简章</w:t>
      </w:r>
    </w:p>
    <w:p w14:paraId="5B03B285">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微专业介绍</w:t>
      </w:r>
    </w:p>
    <w:p w14:paraId="0E50FE10">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专业简介：高级足球裁判微专业是为热爱足球裁判事业，立志成为有理想、有抱负的高水平足球裁判的同学专门开设的微专业。本专业充分整合校内优质资源，秉承北京体育大学“追求卓越”的校训精神，形成了“以体为本、以赛促学、理实融通、国际对标”的先进培养理念。专业与中国足球协会及各级体育组织建立紧密合作关系，引入国际级裁判与现役中超裁判员担任核心师资，构建了“理论授课+场景模拟+赛事观摩+临场实训”四位一体的教学体系。本微专业的最大特色在于“早发现、精培养、高输出”，致力于将学生塑造为兼具规则精通、体能卓越、心理过硬与职业风范的绿茵法官，不仅满足国内精英裁判培养的阶段性需求，更立志打造孕育未来国际级裁判的重要摇篮。</w:t>
      </w:r>
    </w:p>
    <w:p w14:paraId="700314E5">
      <w:pPr>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2.培养目标</w:t>
      </w:r>
    </w:p>
    <w:p w14:paraId="4D245085">
      <w:pPr>
        <w:numPr>
          <w:ilvl w:val="0"/>
          <w:numId w:val="0"/>
        </w:numPr>
        <w:spacing w:beforeLines="20" w:afterLines="20" w:line="4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（1）知识目标：</w:t>
      </w:r>
    </w:p>
    <w:p w14:paraId="58B9DEAA">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1.足球规则与裁判法：系统掌握足球竞赛规则及裁判法的全部内容，深入理解各项条款的适用场景与判罚依据，全面把握裁判员执法的核心要领与操作规范。</w:t>
      </w:r>
    </w:p>
    <w:p w14:paraId="5CB6B2A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2.英文规则：熟练掌握《足球竞赛规则》英文原版内容，准确理解规则条文的英文表述与专业术语，为国际交流与规则应用奠定语言基础。</w:t>
      </w:r>
    </w:p>
    <w:p w14:paraId="75722BB4">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3.竞赛组织：全面掌握足球赛事竞赛组织的全流程知识，具备独立完成赛事策划、编排、运行及协调工作的理论储备。</w:t>
      </w:r>
    </w:p>
    <w:p w14:paraId="549A26E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4.裁判专项体能训练：系统学习并掌握足球裁判员专项体能训练的原理与方法，能够根据执裁要求科学制定并执行训练计划。</w:t>
      </w:r>
    </w:p>
    <w:p w14:paraId="004C88F1">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5.现代足球技战术发展：深入了解现代足球技战术的发展规律与趋势，掌握基本的技战术分析能力，为执裁判断与比赛阅读提供理论支撑。</w:t>
      </w:r>
    </w:p>
    <w:p w14:paraId="6CDBB92F">
      <w:pPr>
        <w:numPr>
          <w:ilvl w:val="0"/>
          <w:numId w:val="1"/>
        </w:numPr>
        <w:spacing w:beforeLines="20" w:afterLines="20" w:line="400" w:lineRule="exact"/>
        <w:rPr>
          <w:rFonts w:hint="default" w:ascii="仿宋_GB2312" w:hAnsi="仿宋_GB2312" w:eastAsia="仿宋_GB2312" w:cs="仿宋_GB2312"/>
          <w:b w:val="0"/>
          <w:bCs/>
          <w:sz w:val="28"/>
          <w:szCs w:val="28"/>
          <w:lang w:val="en-US" w:eastAsia="zh-CN"/>
        </w:rPr>
      </w:pPr>
      <w:r>
        <w:rPr>
          <w:rFonts w:hint="eastAsia" w:ascii="仿宋_GB2312" w:hAnsi="仿宋_GB2312" w:eastAsia="仿宋_GB2312" w:cs="仿宋_GB2312"/>
          <w:kern w:val="2"/>
          <w:sz w:val="32"/>
          <w:szCs w:val="32"/>
          <w:lang w:val="en-US" w:eastAsia="zh-CN" w:bidi="ar-SA"/>
        </w:rPr>
        <w:t>能力目标：</w:t>
      </w:r>
    </w:p>
    <w:p w14:paraId="0D321832">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1.执裁能力：</w:t>
      </w:r>
      <w:r>
        <w:rPr>
          <w:rFonts w:hint="default" w:ascii="仿宋_GB2312" w:hAnsi="仿宋_GB2312" w:eastAsia="仿宋_GB2312" w:cs="仿宋_GB2312"/>
          <w:sz w:val="32"/>
          <w:szCs w:val="32"/>
          <w:lang w:val="en-US" w:eastAsia="zh-CN"/>
        </w:rPr>
        <w:t>熟练掌握足球竞赛规则与裁判法，具备足球比赛临场执裁能力，能够根据</w:t>
      </w:r>
      <w:r>
        <w:rPr>
          <w:rFonts w:hint="eastAsia" w:ascii="仿宋_GB2312" w:hAnsi="仿宋_GB2312" w:eastAsia="仿宋_GB2312" w:cs="仿宋_GB2312"/>
          <w:sz w:val="32"/>
          <w:szCs w:val="32"/>
          <w:lang w:val="en-US" w:eastAsia="zh-CN"/>
        </w:rPr>
        <w:t>赛场</w:t>
      </w:r>
      <w:r>
        <w:rPr>
          <w:rFonts w:hint="default"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lang w:val="en-US" w:eastAsia="zh-CN"/>
        </w:rPr>
        <w:t>作出</w:t>
      </w:r>
      <w:r>
        <w:rPr>
          <w:rFonts w:hint="default" w:ascii="仿宋_GB2312" w:hAnsi="仿宋_GB2312" w:eastAsia="仿宋_GB2312" w:cs="仿宋_GB2312"/>
          <w:sz w:val="32"/>
          <w:szCs w:val="32"/>
          <w:lang w:val="en-US" w:eastAsia="zh-CN"/>
        </w:rPr>
        <w:t>准确判罚。具备参与中国青少年足球比赛执裁工作的能力与潜力。</w:t>
      </w:r>
    </w:p>
    <w:p w14:paraId="553218B6">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2.国际交流能力：</w:t>
      </w:r>
      <w:r>
        <w:rPr>
          <w:rFonts w:hint="default" w:ascii="仿宋_GB2312" w:hAnsi="仿宋_GB2312" w:eastAsia="仿宋_GB2312" w:cs="仿宋_GB2312"/>
          <w:sz w:val="32"/>
          <w:szCs w:val="32"/>
          <w:lang w:val="en-US" w:eastAsia="zh-CN"/>
        </w:rPr>
        <w:t>能够熟练阅读国际足联（IFAB）《足球竞赛规则》英文原版内容，掌握专业术语，并能在赛场环境中运用英语进行流畅、准确的沟通与交流。</w:t>
      </w:r>
    </w:p>
    <w:p w14:paraId="2B190F9C">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3.竞赛组织能力：</w:t>
      </w:r>
      <w:r>
        <w:rPr>
          <w:rFonts w:hint="default" w:ascii="仿宋_GB2312" w:hAnsi="仿宋_GB2312" w:eastAsia="仿宋_GB2312" w:cs="仿宋_GB2312"/>
          <w:sz w:val="32"/>
          <w:szCs w:val="32"/>
          <w:lang w:val="en-US" w:eastAsia="zh-CN"/>
        </w:rPr>
        <w:t>能够运用所学竞赛组织知识，协作完成北京体育大学校级足球比赛的整体策划、赛程编排、场地协调与赛事执行工作。</w:t>
      </w:r>
    </w:p>
    <w:p w14:paraId="58F9DD49">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4.自我管理与训练能力：</w:t>
      </w:r>
      <w:r>
        <w:rPr>
          <w:rFonts w:hint="default" w:ascii="仿宋_GB2312" w:hAnsi="仿宋_GB2312" w:eastAsia="仿宋_GB2312" w:cs="仿宋_GB2312"/>
          <w:sz w:val="32"/>
          <w:szCs w:val="32"/>
          <w:lang w:val="en-US" w:eastAsia="zh-CN"/>
        </w:rPr>
        <w:t>掌握足球裁判员专项体能训练方法，具备科学制定训练计划、自主开展体能训练、保持良好执裁状态的能力。</w:t>
      </w:r>
    </w:p>
    <w:p w14:paraId="7C670B1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5.自主学习与发展能力：</w:t>
      </w:r>
      <w:r>
        <w:rPr>
          <w:rFonts w:hint="default" w:ascii="仿宋_GB2312" w:hAnsi="仿宋_GB2312" w:eastAsia="仿宋_GB2312" w:cs="仿宋_GB2312"/>
          <w:sz w:val="32"/>
          <w:szCs w:val="32"/>
          <w:lang w:val="en-US" w:eastAsia="zh-CN"/>
        </w:rPr>
        <w:t>具备较强的自主学习意识和能力，能够持续关注足球领域的发展动态，主动拓展规则理解、比赛分析与裁判实践等方面的知识与技能。</w:t>
      </w:r>
    </w:p>
    <w:p w14:paraId="291ED0F4">
      <w:pPr>
        <w:numPr>
          <w:ilvl w:val="0"/>
          <w:numId w:val="0"/>
        </w:numPr>
        <w:ind w:firstLine="640" w:firstLineChars="200"/>
        <w:rPr>
          <w:rFonts w:hint="eastAsia" w:ascii="仿宋_GB2312" w:hAnsi="仿宋_GB2312" w:eastAsia="仿宋_GB2312" w:cs="仿宋_GB2312"/>
          <w:kern w:val="2"/>
          <w:sz w:val="32"/>
          <w:szCs w:val="32"/>
          <w:lang w:val="en-US" w:eastAsia="zh-CN" w:bidi="ar-SA"/>
        </w:rPr>
      </w:pPr>
    </w:p>
    <w:p w14:paraId="135C9F1C">
      <w:pPr>
        <w:numPr>
          <w:ilvl w:val="0"/>
          <w:numId w:val="1"/>
        </w:numPr>
        <w:ind w:left="0" w:leftChars="0" w:firstLine="0" w:firstLine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价值目标：</w:t>
      </w:r>
    </w:p>
    <w:p w14:paraId="75286621">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1.恪守公正廉洁的职业底线</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坚守体育道德与竞赛公平，以公正无私的判罚维护赛场纯洁性。在执裁中做到不偏不倚、敢于担当，以实际行动捍卫足球运动的尊严与公信力。</w:t>
      </w:r>
    </w:p>
    <w:p w14:paraId="6EC13747">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2.锻造果敢自信的执裁气质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锤炼强大的心理素质与临场应变能力，在高压环境下保持沉着冷静、判罚果决。以坚定自信的场上风范树立裁判权威，展现新时代中国足球裁判的良好形象。</w:t>
      </w:r>
    </w:p>
    <w:p w14:paraId="4BE50D7C">
      <w:pPr>
        <w:numPr>
          <w:ilvl w:val="0"/>
          <w:numId w:val="0"/>
        </w:num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3.厚植为国争光的使命情怀</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将个人成长融入中国足球振兴的发展大局，树立成为国内一流、国际级裁判的职业理想。以强烈的使命感与责任感，为中国足球事业贡献智慧与力量。</w:t>
      </w:r>
    </w:p>
    <w:p w14:paraId="2DBE86E5">
      <w:pPr>
        <w:numPr>
          <w:ilvl w:val="0"/>
          <w:numId w:val="0"/>
        </w:numPr>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4.养成终身学习的职业习惯</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坚持赛后复盘与案例积累，以持续反思精进执裁水平。始终保持对规则变化的敏锐洞察，主动适应足球运动发展新趋势，不断提升专业素养与综合能力。</w:t>
      </w:r>
    </w:p>
    <w:p w14:paraId="7A46DAA8">
      <w:pPr>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3.学制与学分</w:t>
      </w:r>
    </w:p>
    <w:p w14:paraId="6A1EA68C">
      <w:pPr>
        <w:numPr>
          <w:ilvl w:val="0"/>
          <w:numId w:val="0"/>
        </w:numPr>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学制：1年</w:t>
      </w:r>
    </w:p>
    <w:p w14:paraId="5CD57BA5">
      <w:pPr>
        <w:numPr>
          <w:ilvl w:val="0"/>
          <w:numId w:val="0"/>
        </w:numPr>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学分：需修满6门课，共计13学分</w:t>
      </w:r>
    </w:p>
    <w:p w14:paraId="2420B682">
      <w:pPr>
        <w:numPr>
          <w:ilvl w:val="0"/>
          <w:numId w:val="0"/>
        </w:numPr>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4.课程设置</w:t>
      </w:r>
    </w:p>
    <w:p w14:paraId="3F5CCFF0">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lang w:val="en-US" w:eastAsia="zh-CN"/>
        </w:rPr>
        <w:t>微专业招生安排</w:t>
      </w:r>
    </w:p>
    <w:p w14:paraId="4FDC37EA">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招生对象及条件</w:t>
      </w:r>
    </w:p>
    <w:p w14:paraId="1B9B45FF">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（1）招生对象：本微专业面向全校大二年级本科生招生（不含港澳台学生和留学生）；</w:t>
      </w:r>
    </w:p>
    <w:p w14:paraId="0CF2EE6B">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（2）具体报名条件：报名条件为主修专业平均学分绩点在2.6分以上，学有余力，未受过学业警告；在同等条件下（录取条件不分先后），我们将优先录取具备以下条件的学生：</w:t>
      </w:r>
    </w:p>
    <w:p w14:paraId="2EF9E69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1.拥有较好的足球技术基础和出色的体能条件；</w:t>
      </w:r>
    </w:p>
    <w:p w14:paraId="548E6998">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2.掌握良好的英语听说能力，能够进行流畅的日常交流。</w:t>
      </w:r>
    </w:p>
    <w:p w14:paraId="0E46ADF4">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3.拥有足球裁判等级者优先。</w:t>
      </w:r>
    </w:p>
    <w:p w14:paraId="5D737E70">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报名时间及报名方式</w:t>
      </w:r>
    </w:p>
    <w:p w14:paraId="3691ACED">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（1）报名时间：2026年9月23日-28日</w:t>
      </w:r>
    </w:p>
    <w:p w14:paraId="25A8C460">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（2）报名材料：</w:t>
      </w:r>
    </w:p>
    <w:p w14:paraId="22FFA068">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1.学生证。</w:t>
      </w:r>
    </w:p>
    <w:p w14:paraId="214DDCFD">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2.成绩单。</w:t>
      </w:r>
    </w:p>
    <w:p w14:paraId="31747754">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3.裁判员等级证书（没有裁判员等级证书的学生可以不用提交）。</w:t>
      </w:r>
    </w:p>
    <w:p w14:paraId="7C4C0258">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4.体检表。</w:t>
      </w:r>
    </w:p>
    <w:p w14:paraId="42A66A57">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（3）报名方式：（教务系统-微专业管理-微专业报名管理模块）</w:t>
      </w:r>
    </w:p>
    <w:p w14:paraId="1C4A771A">
      <w:pPr>
        <w:numPr>
          <w:ilvl w:val="0"/>
          <w:numId w:val="0"/>
        </w:numPr>
        <w:spacing w:beforeLines="20" w:afterLines="20" w:line="4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（4）录取与公示：</w:t>
      </w:r>
    </w:p>
    <w:p w14:paraId="7156678A">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1.学生自愿报名并提交个人申请表。</w:t>
      </w:r>
    </w:p>
    <w:p w14:paraId="7B7D4C5A">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2.学院组织专家团队进行初步审核。</w:t>
      </w:r>
    </w:p>
    <w:p w14:paraId="7576F9D7">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3.足球学院组织体测（体测方式依据国际足联裁判员测试方法）；进行专项面试（含规则常识、英语听口等方面），两种方法各占50%。根据测试与面试成绩情况择优录取。测试时间在报名后另行通知。</w:t>
      </w:r>
    </w:p>
    <w:p w14:paraId="13810DA7">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4.选拔测试后一周之内将录取名单在足球学院官网进行公示。</w:t>
      </w:r>
    </w:p>
    <w:p w14:paraId="651210F8">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联系人：王皓霖</w:t>
      </w:r>
    </w:p>
    <w:p w14:paraId="0A818C17">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联系方式：18766226183</w:t>
      </w:r>
    </w:p>
    <w:p w14:paraId="371E13F0">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邮箱：3076117041@qq.com</w:t>
      </w:r>
    </w:p>
    <w:p w14:paraId="384FA6C0">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办公地点：足球学院110室</w:t>
      </w:r>
    </w:p>
    <w:p w14:paraId="25A54F6E">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三、</w:t>
      </w:r>
      <w:r>
        <w:rPr>
          <w:rFonts w:hint="eastAsia" w:ascii="黑体" w:hAnsi="黑体" w:eastAsia="黑体" w:cs="黑体"/>
          <w:sz w:val="32"/>
          <w:szCs w:val="32"/>
          <w:lang w:val="en-US" w:eastAsia="zh-CN"/>
        </w:rPr>
        <w:t>微专业收费标准</w:t>
      </w:r>
    </w:p>
    <w:p w14:paraId="22E6D6F4">
      <w:pPr>
        <w:numPr>
          <w:ilvl w:val="0"/>
          <w:numId w:val="0"/>
        </w:num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参照《北京体育大学本科微专业管理办法》，足球高级裁判员微专业以160元/学分进行收费。</w:t>
      </w:r>
    </w:p>
    <w:p w14:paraId="60F30925">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四、</w:t>
      </w:r>
      <w:r>
        <w:rPr>
          <w:rFonts w:hint="eastAsia" w:ascii="黑体" w:hAnsi="黑体" w:eastAsia="黑体" w:cs="黑体"/>
          <w:sz w:val="32"/>
          <w:szCs w:val="32"/>
          <w:lang w:val="en-US" w:eastAsia="zh-CN"/>
        </w:rPr>
        <w:t>结业条件与证书管理</w:t>
      </w:r>
    </w:p>
    <w:p w14:paraId="002C6B7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主修专业毕业前修读完成足球微专业培养方案中规定的课程并获得相应学分，达到该微专业结业学分要求的，学习者将被授予北京体育大学颁发的足球微专业结业证书。</w:t>
      </w:r>
    </w:p>
    <w:p w14:paraId="15BE6DBA">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结业者即可参加当年年底由北京体育大学统一组织的足球裁判等级考试，考试通过者将获得学校颁发的相应足球裁判等级证书并注册认证，同时报中国足协备案。</w:t>
      </w:r>
    </w:p>
    <w:p w14:paraId="3ED401E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国足球协会裁判员管理办法》相关规定，微课程学习阶段综合表现优异，并在微课程结课后依旧在北体大足球裁判委员会参加裁判执裁工作的学生，可获得参加中国足球协会主办的国家级足球裁判员考核的推荐资格。</w:t>
      </w:r>
    </w:p>
    <w:p w14:paraId="5DBDA25D">
      <w:pPr>
        <w:numPr>
          <w:ilvl w:val="0"/>
          <w:numId w:val="0"/>
        </w:numPr>
        <w:ind w:left="0" w:leftChars="0" w:firstLine="640" w:firstLineChars="200"/>
        <w:rPr>
          <w:rFonts w:hint="default" w:ascii="仿宋_GB2312" w:hAnsi="仿宋_GB2312" w:eastAsia="仿宋_GB2312" w:cs="仿宋_GB2312"/>
          <w:sz w:val="32"/>
          <w:szCs w:val="32"/>
          <w:lang w:val="en-US" w:eastAsia="zh-CN"/>
        </w:rPr>
      </w:pPr>
    </w:p>
    <w:p w14:paraId="76F03EB1">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五、其他说明</w:t>
      </w:r>
    </w:p>
    <w:tbl>
      <w:tblPr>
        <w:tblStyle w:val="4"/>
        <w:tblpPr w:leftFromText="180" w:rightFromText="180" w:vertAnchor="text" w:horzAnchor="page" w:tblpX="1665" w:tblpY="103"/>
        <w:tblOverlap w:val="never"/>
        <w:tblW w:w="8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409"/>
        <w:gridCol w:w="458"/>
        <w:gridCol w:w="571"/>
        <w:gridCol w:w="450"/>
        <w:gridCol w:w="574"/>
        <w:gridCol w:w="396"/>
        <w:gridCol w:w="409"/>
        <w:gridCol w:w="466"/>
        <w:gridCol w:w="2015"/>
      </w:tblGrid>
      <w:tr w14:paraId="12E9CC93">
        <w:trPr>
          <w:trHeight w:val="896" w:hRule="atLeast"/>
          <w:tblHeader/>
        </w:trPr>
        <w:tc>
          <w:tcPr>
            <w:tcW w:w="691" w:type="dxa"/>
            <w:vMerge w:val="restart"/>
            <w:vAlign w:val="center"/>
          </w:tcPr>
          <w:p w14:paraId="620CAD40">
            <w:pPr>
              <w:spacing w:line="300" w:lineRule="exact"/>
              <w:ind w:left="-106" w:leftChars="-51" w:right="-107" w:rightChars="-51" w:hanging="1"/>
              <w:jc w:val="center"/>
              <w:rPr>
                <w:rFonts w:hint="eastAsia" w:ascii="黑体" w:hAnsi="黑体" w:eastAsia="黑体" w:cs="黑体"/>
                <w:sz w:val="21"/>
                <w:szCs w:val="21"/>
              </w:rPr>
            </w:pPr>
            <w:r>
              <w:rPr>
                <w:rFonts w:hint="eastAsia" w:ascii="黑体" w:hAnsi="黑体" w:eastAsia="黑体" w:cs="黑体"/>
                <w:sz w:val="21"/>
                <w:szCs w:val="21"/>
              </w:rPr>
              <w:t>代码</w:t>
            </w:r>
          </w:p>
        </w:tc>
        <w:tc>
          <w:tcPr>
            <w:tcW w:w="2409" w:type="dxa"/>
            <w:vMerge w:val="restart"/>
            <w:vAlign w:val="center"/>
          </w:tcPr>
          <w:p w14:paraId="2CAF9A61">
            <w:pPr>
              <w:spacing w:line="300" w:lineRule="exact"/>
              <w:ind w:left="-109" w:leftChars="-52" w:right="-103" w:rightChars="-49"/>
              <w:jc w:val="center"/>
              <w:rPr>
                <w:rFonts w:hint="eastAsia" w:ascii="黑体" w:hAnsi="黑体" w:eastAsia="黑体" w:cs="黑体"/>
                <w:sz w:val="21"/>
                <w:szCs w:val="21"/>
                <w:lang w:eastAsia="zh-CN"/>
              </w:rPr>
            </w:pPr>
            <w:r>
              <w:rPr>
                <w:rFonts w:hint="eastAsia" w:ascii="黑体" w:hAnsi="黑体" w:eastAsia="黑体" w:cs="黑体"/>
                <w:sz w:val="21"/>
                <w:szCs w:val="21"/>
              </w:rPr>
              <w:t>课程名称</w:t>
            </w:r>
          </w:p>
        </w:tc>
        <w:tc>
          <w:tcPr>
            <w:tcW w:w="458" w:type="dxa"/>
            <w:vMerge w:val="restart"/>
            <w:vAlign w:val="center"/>
          </w:tcPr>
          <w:p w14:paraId="0DE454BD">
            <w:pPr>
              <w:spacing w:line="300" w:lineRule="exact"/>
              <w:jc w:val="center"/>
              <w:rPr>
                <w:rFonts w:hint="eastAsia" w:ascii="黑体" w:hAnsi="黑体" w:eastAsia="黑体" w:cs="黑体"/>
                <w:kern w:val="2"/>
                <w:sz w:val="21"/>
                <w:szCs w:val="21"/>
                <w:lang w:val="en-US" w:eastAsia="zh-CN" w:bidi="ar-SA"/>
              </w:rPr>
            </w:pPr>
            <w:r>
              <w:rPr>
                <w:rFonts w:hint="eastAsia" w:ascii="黑体" w:hAnsi="黑体" w:eastAsia="黑体" w:cs="黑体"/>
                <w:sz w:val="21"/>
                <w:szCs w:val="21"/>
                <w:lang w:eastAsia="zh-CN"/>
              </w:rPr>
              <w:t>学分</w:t>
            </w:r>
          </w:p>
        </w:tc>
        <w:tc>
          <w:tcPr>
            <w:tcW w:w="571" w:type="dxa"/>
            <w:vMerge w:val="restart"/>
            <w:vAlign w:val="center"/>
          </w:tcPr>
          <w:p w14:paraId="53C9B01F">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学时</w:t>
            </w:r>
          </w:p>
        </w:tc>
        <w:tc>
          <w:tcPr>
            <w:tcW w:w="1420" w:type="dxa"/>
            <w:gridSpan w:val="3"/>
            <w:vAlign w:val="center"/>
          </w:tcPr>
          <w:p w14:paraId="297381A1">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学时分配</w:t>
            </w:r>
          </w:p>
        </w:tc>
        <w:tc>
          <w:tcPr>
            <w:tcW w:w="875" w:type="dxa"/>
            <w:gridSpan w:val="2"/>
            <w:vAlign w:val="center"/>
          </w:tcPr>
          <w:p w14:paraId="4ACD8892">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期末考核类型</w:t>
            </w:r>
          </w:p>
        </w:tc>
        <w:tc>
          <w:tcPr>
            <w:tcW w:w="2015" w:type="dxa"/>
            <w:vMerge w:val="restart"/>
            <w:vAlign w:val="center"/>
          </w:tcPr>
          <w:p w14:paraId="06713BB0">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备注</w:t>
            </w:r>
          </w:p>
        </w:tc>
      </w:tr>
      <w:tr w14:paraId="298516E8">
        <w:trPr>
          <w:trHeight w:val="848" w:hRule="atLeast"/>
          <w:tblHeader/>
        </w:trPr>
        <w:tc>
          <w:tcPr>
            <w:tcW w:w="691" w:type="dxa"/>
            <w:vMerge w:val="continue"/>
            <w:vAlign w:val="center"/>
          </w:tcPr>
          <w:p w14:paraId="5FDD59B6">
            <w:pPr>
              <w:spacing w:line="300" w:lineRule="exact"/>
              <w:jc w:val="center"/>
              <w:rPr>
                <w:rFonts w:hint="eastAsia" w:ascii="黑体" w:hAnsi="黑体" w:eastAsia="黑体" w:cs="黑体"/>
                <w:sz w:val="21"/>
                <w:szCs w:val="21"/>
              </w:rPr>
            </w:pPr>
          </w:p>
        </w:tc>
        <w:tc>
          <w:tcPr>
            <w:tcW w:w="2409" w:type="dxa"/>
            <w:vMerge w:val="continue"/>
            <w:vAlign w:val="center"/>
          </w:tcPr>
          <w:p w14:paraId="6EFC752F">
            <w:pPr>
              <w:spacing w:line="300" w:lineRule="exact"/>
              <w:jc w:val="center"/>
              <w:rPr>
                <w:rFonts w:hint="eastAsia" w:ascii="黑体" w:hAnsi="黑体" w:eastAsia="黑体" w:cs="黑体"/>
                <w:sz w:val="21"/>
                <w:szCs w:val="21"/>
              </w:rPr>
            </w:pPr>
          </w:p>
        </w:tc>
        <w:tc>
          <w:tcPr>
            <w:tcW w:w="458" w:type="dxa"/>
            <w:vMerge w:val="continue"/>
            <w:vAlign w:val="center"/>
          </w:tcPr>
          <w:p w14:paraId="5DFD7ADA">
            <w:pPr>
              <w:spacing w:line="300" w:lineRule="exact"/>
              <w:jc w:val="center"/>
              <w:rPr>
                <w:rFonts w:hint="eastAsia" w:ascii="黑体" w:hAnsi="黑体" w:eastAsia="黑体" w:cs="黑体"/>
                <w:sz w:val="21"/>
                <w:szCs w:val="21"/>
              </w:rPr>
            </w:pPr>
          </w:p>
        </w:tc>
        <w:tc>
          <w:tcPr>
            <w:tcW w:w="571" w:type="dxa"/>
            <w:vMerge w:val="continue"/>
            <w:vAlign w:val="center"/>
          </w:tcPr>
          <w:p w14:paraId="3B6C7CB1">
            <w:pPr>
              <w:spacing w:line="300" w:lineRule="exact"/>
              <w:jc w:val="center"/>
              <w:rPr>
                <w:rFonts w:hint="eastAsia" w:ascii="黑体" w:hAnsi="黑体" w:eastAsia="黑体" w:cs="黑体"/>
                <w:sz w:val="21"/>
                <w:szCs w:val="21"/>
              </w:rPr>
            </w:pPr>
          </w:p>
        </w:tc>
        <w:tc>
          <w:tcPr>
            <w:tcW w:w="450" w:type="dxa"/>
            <w:vAlign w:val="center"/>
          </w:tcPr>
          <w:p w14:paraId="0460C60B">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理论</w:t>
            </w:r>
          </w:p>
        </w:tc>
        <w:tc>
          <w:tcPr>
            <w:tcW w:w="574" w:type="dxa"/>
            <w:vAlign w:val="center"/>
          </w:tcPr>
          <w:p w14:paraId="45D1D357">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实践</w:t>
            </w:r>
          </w:p>
        </w:tc>
        <w:tc>
          <w:tcPr>
            <w:tcW w:w="396" w:type="dxa"/>
            <w:vAlign w:val="center"/>
          </w:tcPr>
          <w:p w14:paraId="37A599B1">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实验</w:t>
            </w:r>
          </w:p>
        </w:tc>
        <w:tc>
          <w:tcPr>
            <w:tcW w:w="409" w:type="dxa"/>
            <w:vAlign w:val="center"/>
          </w:tcPr>
          <w:p w14:paraId="7727B2D7">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考试</w:t>
            </w:r>
          </w:p>
        </w:tc>
        <w:tc>
          <w:tcPr>
            <w:tcW w:w="466" w:type="dxa"/>
            <w:vAlign w:val="center"/>
          </w:tcPr>
          <w:p w14:paraId="189350E5">
            <w:pPr>
              <w:spacing w:line="300" w:lineRule="exact"/>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考查</w:t>
            </w:r>
          </w:p>
        </w:tc>
        <w:tc>
          <w:tcPr>
            <w:tcW w:w="2015" w:type="dxa"/>
            <w:vMerge w:val="continue"/>
            <w:vAlign w:val="center"/>
          </w:tcPr>
          <w:p w14:paraId="053B915E">
            <w:pPr>
              <w:spacing w:line="300" w:lineRule="exact"/>
              <w:jc w:val="center"/>
              <w:rPr>
                <w:rFonts w:hint="eastAsia" w:ascii="仿宋_GB2312" w:hAnsi="仿宋_GB2312" w:eastAsia="仿宋_GB2312" w:cs="仿宋_GB2312"/>
                <w:sz w:val="16"/>
                <w:szCs w:val="16"/>
                <w:lang w:eastAsia="zh-CN"/>
              </w:rPr>
            </w:pPr>
          </w:p>
        </w:tc>
      </w:tr>
      <w:tr w14:paraId="5B71044D">
        <w:trPr>
          <w:trHeight w:val="306" w:hRule="atLeast"/>
        </w:trPr>
        <w:tc>
          <w:tcPr>
            <w:tcW w:w="691" w:type="dxa"/>
            <w:vAlign w:val="center"/>
          </w:tcPr>
          <w:p w14:paraId="2233CD47">
            <w:pPr>
              <w:spacing w:line="300" w:lineRule="exact"/>
              <w:ind w:right="-107" w:rightChars="-5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2409" w:type="dxa"/>
            <w:vAlign w:val="center"/>
          </w:tcPr>
          <w:p w14:paraId="7FBDB966">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足球竞赛规则与裁判法</w:t>
            </w:r>
          </w:p>
        </w:tc>
        <w:tc>
          <w:tcPr>
            <w:tcW w:w="458" w:type="dxa"/>
            <w:vAlign w:val="center"/>
          </w:tcPr>
          <w:p w14:paraId="246D3E31">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w:t>
            </w:r>
          </w:p>
        </w:tc>
        <w:tc>
          <w:tcPr>
            <w:tcW w:w="571" w:type="dxa"/>
            <w:vAlign w:val="center"/>
          </w:tcPr>
          <w:p w14:paraId="355258EB">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48</w:t>
            </w:r>
          </w:p>
        </w:tc>
        <w:tc>
          <w:tcPr>
            <w:tcW w:w="450" w:type="dxa"/>
            <w:vAlign w:val="center"/>
          </w:tcPr>
          <w:p w14:paraId="689132AE">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48</w:t>
            </w:r>
          </w:p>
        </w:tc>
        <w:tc>
          <w:tcPr>
            <w:tcW w:w="574" w:type="dxa"/>
            <w:vAlign w:val="center"/>
          </w:tcPr>
          <w:p w14:paraId="533C4BF7">
            <w:pPr>
              <w:spacing w:line="300" w:lineRule="exact"/>
              <w:jc w:val="center"/>
              <w:rPr>
                <w:rFonts w:hint="eastAsia" w:ascii="仿宋_GB2312" w:hAnsi="仿宋_GB2312" w:eastAsia="仿宋_GB2312" w:cs="仿宋_GB2312"/>
                <w:sz w:val="21"/>
                <w:szCs w:val="21"/>
              </w:rPr>
            </w:pPr>
          </w:p>
        </w:tc>
        <w:tc>
          <w:tcPr>
            <w:tcW w:w="396" w:type="dxa"/>
            <w:vAlign w:val="center"/>
          </w:tcPr>
          <w:p w14:paraId="38EC4BCF">
            <w:pPr>
              <w:spacing w:line="300" w:lineRule="exact"/>
              <w:jc w:val="center"/>
              <w:rPr>
                <w:rFonts w:hint="eastAsia" w:ascii="仿宋_GB2312" w:hAnsi="仿宋_GB2312" w:eastAsia="仿宋_GB2312" w:cs="仿宋_GB2312"/>
                <w:sz w:val="21"/>
                <w:szCs w:val="21"/>
              </w:rPr>
            </w:pPr>
          </w:p>
        </w:tc>
        <w:tc>
          <w:tcPr>
            <w:tcW w:w="409" w:type="dxa"/>
            <w:vAlign w:val="center"/>
          </w:tcPr>
          <w:p w14:paraId="73BF505E">
            <w:pPr>
              <w:spacing w:line="300" w:lineRule="exact"/>
              <w:jc w:val="center"/>
              <w:rPr>
                <w:rFonts w:hint="eastAsia" w:ascii="仿宋_GB2312" w:hAnsi="仿宋_GB2312" w:eastAsia="仿宋_GB2312" w:cs="仿宋_GB2312"/>
                <w:sz w:val="21"/>
                <w:szCs w:val="21"/>
                <w:lang w:val="en-US" w:eastAsia="zh-CN"/>
              </w:rPr>
            </w:pPr>
            <w:r>
              <w:rPr>
                <w:rFonts w:hint="default" w:ascii="Arial" w:hAnsi="Arial" w:eastAsia="仿宋_GB2312" w:cs="Arial"/>
                <w:sz w:val="21"/>
                <w:szCs w:val="21"/>
                <w:lang w:val="en-US" w:eastAsia="zh-CN"/>
              </w:rPr>
              <w:t>√</w:t>
            </w:r>
          </w:p>
        </w:tc>
        <w:tc>
          <w:tcPr>
            <w:tcW w:w="466" w:type="dxa"/>
            <w:vAlign w:val="center"/>
          </w:tcPr>
          <w:p w14:paraId="0C47EB1B">
            <w:pPr>
              <w:spacing w:line="300" w:lineRule="exact"/>
              <w:jc w:val="center"/>
              <w:rPr>
                <w:rFonts w:hint="eastAsia" w:ascii="仿宋_GB2312" w:hAnsi="仿宋_GB2312" w:eastAsia="仿宋_GB2312" w:cs="仿宋_GB2312"/>
                <w:sz w:val="21"/>
                <w:szCs w:val="21"/>
                <w:lang w:val="en-US" w:eastAsia="zh-CN"/>
              </w:rPr>
            </w:pPr>
          </w:p>
        </w:tc>
        <w:tc>
          <w:tcPr>
            <w:tcW w:w="2015" w:type="dxa"/>
            <w:vAlign w:val="center"/>
          </w:tcPr>
          <w:p w14:paraId="64E5DE33">
            <w:pPr>
              <w:spacing w:line="300" w:lineRule="exact"/>
              <w:jc w:val="center"/>
              <w:rPr>
                <w:rFonts w:hint="eastAsia" w:ascii="仿宋_GB2312" w:hAnsi="仿宋_GB2312" w:eastAsia="仿宋_GB2312" w:cs="仿宋_GB2312"/>
                <w:sz w:val="21"/>
                <w:szCs w:val="21"/>
                <w:lang w:eastAsia="zh-CN"/>
              </w:rPr>
            </w:pPr>
          </w:p>
        </w:tc>
      </w:tr>
      <w:tr w14:paraId="7640C9CE">
        <w:trPr>
          <w:trHeight w:val="306" w:hRule="atLeast"/>
        </w:trPr>
        <w:tc>
          <w:tcPr>
            <w:tcW w:w="691" w:type="dxa"/>
            <w:vAlign w:val="center"/>
          </w:tcPr>
          <w:p w14:paraId="0BB1D2A0">
            <w:pPr>
              <w:spacing w:line="300" w:lineRule="exact"/>
              <w:ind w:right="-107" w:rightChars="-5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409" w:type="dxa"/>
            <w:vAlign w:val="center"/>
          </w:tcPr>
          <w:p w14:paraId="209DDA51">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足球裁判实践</w:t>
            </w:r>
          </w:p>
        </w:tc>
        <w:tc>
          <w:tcPr>
            <w:tcW w:w="458" w:type="dxa"/>
            <w:vAlign w:val="center"/>
          </w:tcPr>
          <w:p w14:paraId="7266E68C">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4</w:t>
            </w:r>
          </w:p>
        </w:tc>
        <w:tc>
          <w:tcPr>
            <w:tcW w:w="571" w:type="dxa"/>
            <w:vAlign w:val="center"/>
          </w:tcPr>
          <w:p w14:paraId="10546492">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64</w:t>
            </w:r>
          </w:p>
        </w:tc>
        <w:tc>
          <w:tcPr>
            <w:tcW w:w="450" w:type="dxa"/>
            <w:vAlign w:val="center"/>
          </w:tcPr>
          <w:p w14:paraId="0917CDD3">
            <w:pPr>
              <w:spacing w:line="300" w:lineRule="exact"/>
              <w:jc w:val="center"/>
              <w:rPr>
                <w:rFonts w:hint="eastAsia" w:ascii="仿宋_GB2312" w:hAnsi="仿宋_GB2312" w:eastAsia="仿宋_GB2312" w:cs="仿宋_GB2312"/>
                <w:sz w:val="21"/>
                <w:szCs w:val="21"/>
              </w:rPr>
            </w:pPr>
          </w:p>
        </w:tc>
        <w:tc>
          <w:tcPr>
            <w:tcW w:w="574" w:type="dxa"/>
            <w:vAlign w:val="center"/>
          </w:tcPr>
          <w:p w14:paraId="713AC214">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64</w:t>
            </w:r>
          </w:p>
        </w:tc>
        <w:tc>
          <w:tcPr>
            <w:tcW w:w="396" w:type="dxa"/>
            <w:vAlign w:val="center"/>
          </w:tcPr>
          <w:p w14:paraId="398D4CFE">
            <w:pPr>
              <w:spacing w:line="300" w:lineRule="exact"/>
              <w:jc w:val="center"/>
              <w:rPr>
                <w:rFonts w:hint="eastAsia" w:ascii="仿宋_GB2312" w:hAnsi="仿宋_GB2312" w:eastAsia="仿宋_GB2312" w:cs="仿宋_GB2312"/>
                <w:sz w:val="21"/>
                <w:szCs w:val="21"/>
              </w:rPr>
            </w:pPr>
          </w:p>
        </w:tc>
        <w:tc>
          <w:tcPr>
            <w:tcW w:w="409" w:type="dxa"/>
            <w:vAlign w:val="center"/>
          </w:tcPr>
          <w:p w14:paraId="5AB9C662">
            <w:pPr>
              <w:spacing w:line="300" w:lineRule="exact"/>
              <w:jc w:val="center"/>
              <w:rPr>
                <w:rFonts w:hint="eastAsia" w:ascii="仿宋_GB2312" w:hAnsi="仿宋_GB2312" w:eastAsia="仿宋_GB2312" w:cs="仿宋_GB2312"/>
                <w:sz w:val="21"/>
                <w:szCs w:val="21"/>
                <w:lang w:val="en-US" w:eastAsia="zh-CN"/>
              </w:rPr>
            </w:pPr>
          </w:p>
        </w:tc>
        <w:tc>
          <w:tcPr>
            <w:tcW w:w="466" w:type="dxa"/>
            <w:vAlign w:val="center"/>
          </w:tcPr>
          <w:p w14:paraId="13778600">
            <w:pPr>
              <w:spacing w:line="300" w:lineRule="exact"/>
              <w:jc w:val="center"/>
              <w:rPr>
                <w:rFonts w:hint="eastAsia" w:ascii="仿宋_GB2312" w:hAnsi="仿宋_GB2312" w:eastAsia="仿宋_GB2312" w:cs="仿宋_GB2312"/>
                <w:sz w:val="21"/>
                <w:szCs w:val="21"/>
                <w:lang w:val="en-US" w:eastAsia="zh-CN"/>
              </w:rPr>
            </w:pPr>
            <w:r>
              <w:rPr>
                <w:rFonts w:hint="default" w:ascii="Arial" w:hAnsi="Arial" w:eastAsia="仿宋_GB2312" w:cs="Arial"/>
                <w:sz w:val="21"/>
                <w:szCs w:val="21"/>
                <w:lang w:val="en-US" w:eastAsia="zh-CN"/>
              </w:rPr>
              <w:t>√</w:t>
            </w:r>
          </w:p>
        </w:tc>
        <w:tc>
          <w:tcPr>
            <w:tcW w:w="2015" w:type="dxa"/>
            <w:vAlign w:val="center"/>
          </w:tcPr>
          <w:p w14:paraId="641DCB9F">
            <w:pPr>
              <w:spacing w:line="300" w:lineRule="exact"/>
              <w:jc w:val="center"/>
              <w:rPr>
                <w:rFonts w:hint="eastAsia" w:ascii="仿宋_GB2312" w:hAnsi="仿宋_GB2312" w:eastAsia="仿宋_GB2312" w:cs="仿宋_GB2312"/>
                <w:sz w:val="21"/>
                <w:szCs w:val="21"/>
                <w:lang w:eastAsia="zh-CN"/>
              </w:rPr>
            </w:pPr>
          </w:p>
        </w:tc>
      </w:tr>
      <w:tr w14:paraId="18D3808D">
        <w:trPr>
          <w:trHeight w:val="306" w:hRule="atLeast"/>
        </w:trPr>
        <w:tc>
          <w:tcPr>
            <w:tcW w:w="691" w:type="dxa"/>
            <w:vAlign w:val="center"/>
          </w:tcPr>
          <w:p w14:paraId="334B32F4">
            <w:pPr>
              <w:spacing w:line="300" w:lineRule="exact"/>
              <w:ind w:right="-107" w:rightChars="-51"/>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409" w:type="dxa"/>
            <w:vAlign w:val="center"/>
          </w:tcPr>
          <w:p w14:paraId="4907CAA2">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足球裁判专业英语</w:t>
            </w:r>
          </w:p>
        </w:tc>
        <w:tc>
          <w:tcPr>
            <w:tcW w:w="458" w:type="dxa"/>
            <w:vAlign w:val="center"/>
          </w:tcPr>
          <w:p w14:paraId="39FDF22B">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w:t>
            </w:r>
          </w:p>
        </w:tc>
        <w:tc>
          <w:tcPr>
            <w:tcW w:w="571" w:type="dxa"/>
            <w:vAlign w:val="center"/>
          </w:tcPr>
          <w:p w14:paraId="1C4972F8">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48</w:t>
            </w:r>
          </w:p>
        </w:tc>
        <w:tc>
          <w:tcPr>
            <w:tcW w:w="450" w:type="dxa"/>
            <w:vAlign w:val="center"/>
          </w:tcPr>
          <w:p w14:paraId="05C3B75F">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24</w:t>
            </w:r>
          </w:p>
        </w:tc>
        <w:tc>
          <w:tcPr>
            <w:tcW w:w="574" w:type="dxa"/>
            <w:vAlign w:val="center"/>
          </w:tcPr>
          <w:p w14:paraId="3D8D1D0F">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24</w:t>
            </w:r>
          </w:p>
        </w:tc>
        <w:tc>
          <w:tcPr>
            <w:tcW w:w="396" w:type="dxa"/>
            <w:vAlign w:val="center"/>
          </w:tcPr>
          <w:p w14:paraId="37C17D82">
            <w:pPr>
              <w:spacing w:line="300" w:lineRule="exact"/>
              <w:jc w:val="center"/>
              <w:rPr>
                <w:rFonts w:hint="eastAsia" w:ascii="仿宋_GB2312" w:hAnsi="仿宋_GB2312" w:eastAsia="仿宋_GB2312" w:cs="仿宋_GB2312"/>
                <w:sz w:val="21"/>
                <w:szCs w:val="21"/>
              </w:rPr>
            </w:pPr>
          </w:p>
        </w:tc>
        <w:tc>
          <w:tcPr>
            <w:tcW w:w="409" w:type="dxa"/>
            <w:vAlign w:val="center"/>
          </w:tcPr>
          <w:p w14:paraId="10F3AAC1">
            <w:pPr>
              <w:spacing w:line="300" w:lineRule="exact"/>
              <w:jc w:val="center"/>
              <w:rPr>
                <w:rFonts w:hint="eastAsia" w:ascii="仿宋_GB2312" w:hAnsi="仿宋_GB2312" w:eastAsia="仿宋_GB2312" w:cs="仿宋_GB2312"/>
                <w:sz w:val="21"/>
                <w:szCs w:val="21"/>
                <w:lang w:eastAsia="zh-CN"/>
              </w:rPr>
            </w:pPr>
            <w:r>
              <w:rPr>
                <w:rFonts w:hint="default" w:ascii="Arial" w:hAnsi="Arial" w:eastAsia="仿宋_GB2312" w:cs="Arial"/>
                <w:sz w:val="21"/>
                <w:szCs w:val="21"/>
                <w:lang w:val="en-US" w:eastAsia="zh-CN"/>
              </w:rPr>
              <w:t>√</w:t>
            </w:r>
          </w:p>
        </w:tc>
        <w:tc>
          <w:tcPr>
            <w:tcW w:w="466" w:type="dxa"/>
            <w:vAlign w:val="center"/>
          </w:tcPr>
          <w:p w14:paraId="394DFD1B">
            <w:pPr>
              <w:spacing w:line="300" w:lineRule="exact"/>
              <w:jc w:val="center"/>
              <w:rPr>
                <w:rFonts w:hint="eastAsia" w:ascii="仿宋_GB2312" w:hAnsi="仿宋_GB2312" w:eastAsia="仿宋_GB2312" w:cs="仿宋_GB2312"/>
                <w:sz w:val="21"/>
                <w:szCs w:val="21"/>
                <w:lang w:eastAsia="zh-CN"/>
              </w:rPr>
            </w:pPr>
          </w:p>
        </w:tc>
        <w:tc>
          <w:tcPr>
            <w:tcW w:w="2015" w:type="dxa"/>
            <w:vAlign w:val="center"/>
          </w:tcPr>
          <w:p w14:paraId="5D565BAC">
            <w:pPr>
              <w:spacing w:line="300" w:lineRule="exact"/>
              <w:jc w:val="center"/>
              <w:rPr>
                <w:rFonts w:hint="eastAsia" w:ascii="仿宋_GB2312" w:hAnsi="仿宋_GB2312" w:eastAsia="仿宋_GB2312" w:cs="仿宋_GB2312"/>
                <w:sz w:val="21"/>
                <w:szCs w:val="21"/>
                <w:lang w:eastAsia="zh-CN"/>
              </w:rPr>
            </w:pPr>
          </w:p>
        </w:tc>
      </w:tr>
      <w:tr w14:paraId="3C834940">
        <w:trPr>
          <w:trHeight w:val="306" w:hRule="atLeast"/>
        </w:trPr>
        <w:tc>
          <w:tcPr>
            <w:tcW w:w="691" w:type="dxa"/>
            <w:vAlign w:val="center"/>
          </w:tcPr>
          <w:p w14:paraId="1CE77C00">
            <w:pPr>
              <w:spacing w:line="300" w:lineRule="exact"/>
              <w:ind w:right="-107" w:rightChars="-5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409" w:type="dxa"/>
            <w:vAlign w:val="center"/>
          </w:tcPr>
          <w:p w14:paraId="42202292">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足球裁判体能</w:t>
            </w:r>
          </w:p>
        </w:tc>
        <w:tc>
          <w:tcPr>
            <w:tcW w:w="458" w:type="dxa"/>
            <w:vAlign w:val="center"/>
          </w:tcPr>
          <w:p w14:paraId="73124257">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w:t>
            </w:r>
          </w:p>
        </w:tc>
        <w:tc>
          <w:tcPr>
            <w:tcW w:w="571" w:type="dxa"/>
            <w:vAlign w:val="center"/>
          </w:tcPr>
          <w:p w14:paraId="72D35A16">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32</w:t>
            </w:r>
          </w:p>
        </w:tc>
        <w:tc>
          <w:tcPr>
            <w:tcW w:w="450" w:type="dxa"/>
            <w:vAlign w:val="center"/>
          </w:tcPr>
          <w:p w14:paraId="7160EFA2">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w:t>
            </w:r>
          </w:p>
        </w:tc>
        <w:tc>
          <w:tcPr>
            <w:tcW w:w="574" w:type="dxa"/>
            <w:vAlign w:val="center"/>
          </w:tcPr>
          <w:p w14:paraId="279271D0">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w:t>
            </w:r>
          </w:p>
        </w:tc>
        <w:tc>
          <w:tcPr>
            <w:tcW w:w="396" w:type="dxa"/>
            <w:vAlign w:val="center"/>
          </w:tcPr>
          <w:p w14:paraId="569D579C">
            <w:pPr>
              <w:spacing w:line="300" w:lineRule="exact"/>
              <w:jc w:val="center"/>
              <w:rPr>
                <w:rFonts w:hint="eastAsia" w:ascii="仿宋_GB2312" w:hAnsi="仿宋_GB2312" w:eastAsia="仿宋_GB2312" w:cs="仿宋_GB2312"/>
                <w:sz w:val="21"/>
                <w:szCs w:val="21"/>
              </w:rPr>
            </w:pPr>
          </w:p>
        </w:tc>
        <w:tc>
          <w:tcPr>
            <w:tcW w:w="409" w:type="dxa"/>
            <w:vAlign w:val="center"/>
          </w:tcPr>
          <w:p w14:paraId="35AD6F69">
            <w:pPr>
              <w:spacing w:line="300" w:lineRule="exact"/>
              <w:jc w:val="center"/>
              <w:rPr>
                <w:rFonts w:hint="eastAsia" w:ascii="仿宋_GB2312" w:hAnsi="仿宋_GB2312" w:eastAsia="仿宋_GB2312" w:cs="仿宋_GB2312"/>
                <w:sz w:val="21"/>
                <w:szCs w:val="21"/>
                <w:lang w:eastAsia="zh-CN"/>
              </w:rPr>
            </w:pPr>
          </w:p>
        </w:tc>
        <w:tc>
          <w:tcPr>
            <w:tcW w:w="466" w:type="dxa"/>
            <w:vAlign w:val="center"/>
          </w:tcPr>
          <w:p w14:paraId="0C25D5F0">
            <w:pPr>
              <w:spacing w:line="300" w:lineRule="exact"/>
              <w:jc w:val="center"/>
              <w:rPr>
                <w:rFonts w:hint="eastAsia" w:ascii="仿宋_GB2312" w:hAnsi="仿宋_GB2312" w:eastAsia="仿宋_GB2312" w:cs="仿宋_GB2312"/>
                <w:sz w:val="21"/>
                <w:szCs w:val="21"/>
                <w:lang w:eastAsia="zh-CN"/>
              </w:rPr>
            </w:pPr>
            <w:r>
              <w:rPr>
                <w:rFonts w:hint="default" w:ascii="Arial" w:hAnsi="Arial" w:eastAsia="仿宋_GB2312" w:cs="Arial"/>
                <w:sz w:val="21"/>
                <w:szCs w:val="21"/>
                <w:lang w:val="en-US" w:eastAsia="zh-CN"/>
              </w:rPr>
              <w:t>√</w:t>
            </w:r>
          </w:p>
        </w:tc>
        <w:tc>
          <w:tcPr>
            <w:tcW w:w="2015" w:type="dxa"/>
            <w:vAlign w:val="center"/>
          </w:tcPr>
          <w:p w14:paraId="55DE255E">
            <w:pPr>
              <w:spacing w:line="300" w:lineRule="exact"/>
              <w:jc w:val="center"/>
              <w:rPr>
                <w:rFonts w:hint="eastAsia" w:ascii="仿宋_GB2312" w:hAnsi="仿宋_GB2312" w:eastAsia="仿宋_GB2312" w:cs="仿宋_GB2312"/>
                <w:sz w:val="21"/>
                <w:szCs w:val="21"/>
                <w:lang w:eastAsia="zh-CN"/>
              </w:rPr>
            </w:pPr>
          </w:p>
        </w:tc>
      </w:tr>
      <w:tr w14:paraId="05FEC385">
        <w:trPr>
          <w:trHeight w:val="306" w:hRule="atLeast"/>
        </w:trPr>
        <w:tc>
          <w:tcPr>
            <w:tcW w:w="691" w:type="dxa"/>
            <w:vAlign w:val="center"/>
          </w:tcPr>
          <w:p w14:paraId="021BE758">
            <w:pPr>
              <w:spacing w:line="300" w:lineRule="exact"/>
              <w:ind w:right="-107" w:rightChars="-5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409" w:type="dxa"/>
            <w:vAlign w:val="center"/>
          </w:tcPr>
          <w:p w14:paraId="7D086312">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足球竞赛组织</w:t>
            </w:r>
          </w:p>
        </w:tc>
        <w:tc>
          <w:tcPr>
            <w:tcW w:w="458" w:type="dxa"/>
            <w:vAlign w:val="center"/>
          </w:tcPr>
          <w:p w14:paraId="71E7A279">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w:t>
            </w:r>
          </w:p>
        </w:tc>
        <w:tc>
          <w:tcPr>
            <w:tcW w:w="571" w:type="dxa"/>
            <w:vAlign w:val="center"/>
          </w:tcPr>
          <w:p w14:paraId="019D8BF3">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w:t>
            </w:r>
          </w:p>
        </w:tc>
        <w:tc>
          <w:tcPr>
            <w:tcW w:w="450" w:type="dxa"/>
            <w:vAlign w:val="center"/>
          </w:tcPr>
          <w:p w14:paraId="31BEE5CE">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16</w:t>
            </w:r>
          </w:p>
        </w:tc>
        <w:tc>
          <w:tcPr>
            <w:tcW w:w="574" w:type="dxa"/>
            <w:vAlign w:val="center"/>
          </w:tcPr>
          <w:p w14:paraId="03A0C2E0">
            <w:pPr>
              <w:spacing w:line="300" w:lineRule="exact"/>
              <w:jc w:val="center"/>
              <w:rPr>
                <w:rFonts w:hint="default" w:ascii="仿宋_GB2312" w:hAnsi="仿宋_GB2312" w:eastAsia="仿宋_GB2312" w:cs="仿宋_GB2312"/>
                <w:sz w:val="21"/>
                <w:szCs w:val="21"/>
                <w:lang w:val="en-US" w:eastAsia="zh-CN"/>
              </w:rPr>
            </w:pPr>
          </w:p>
        </w:tc>
        <w:tc>
          <w:tcPr>
            <w:tcW w:w="396" w:type="dxa"/>
            <w:vAlign w:val="center"/>
          </w:tcPr>
          <w:p w14:paraId="1D0374CF">
            <w:pPr>
              <w:spacing w:line="300" w:lineRule="exact"/>
              <w:jc w:val="center"/>
              <w:rPr>
                <w:rFonts w:hint="eastAsia" w:ascii="仿宋_GB2312" w:hAnsi="仿宋_GB2312" w:eastAsia="仿宋_GB2312" w:cs="仿宋_GB2312"/>
                <w:sz w:val="21"/>
                <w:szCs w:val="21"/>
              </w:rPr>
            </w:pPr>
          </w:p>
        </w:tc>
        <w:tc>
          <w:tcPr>
            <w:tcW w:w="409" w:type="dxa"/>
            <w:vAlign w:val="center"/>
          </w:tcPr>
          <w:p w14:paraId="3BC3F8C9">
            <w:pPr>
              <w:spacing w:line="300" w:lineRule="exact"/>
              <w:jc w:val="center"/>
              <w:rPr>
                <w:rFonts w:hint="eastAsia" w:ascii="仿宋_GB2312" w:hAnsi="仿宋_GB2312" w:eastAsia="仿宋_GB2312" w:cs="仿宋_GB2312"/>
                <w:sz w:val="21"/>
                <w:szCs w:val="21"/>
                <w:lang w:eastAsia="zh-CN"/>
              </w:rPr>
            </w:pPr>
          </w:p>
        </w:tc>
        <w:tc>
          <w:tcPr>
            <w:tcW w:w="466" w:type="dxa"/>
            <w:vAlign w:val="center"/>
          </w:tcPr>
          <w:p w14:paraId="195A24E0">
            <w:pPr>
              <w:spacing w:line="300" w:lineRule="exact"/>
              <w:jc w:val="center"/>
              <w:rPr>
                <w:rFonts w:hint="eastAsia" w:ascii="仿宋_GB2312" w:hAnsi="仿宋_GB2312" w:eastAsia="仿宋_GB2312" w:cs="仿宋_GB2312"/>
                <w:sz w:val="21"/>
                <w:szCs w:val="21"/>
                <w:lang w:eastAsia="zh-CN"/>
              </w:rPr>
            </w:pPr>
            <w:r>
              <w:rPr>
                <w:rFonts w:hint="default" w:ascii="Arial" w:hAnsi="Arial" w:eastAsia="仿宋_GB2312" w:cs="Arial"/>
                <w:sz w:val="21"/>
                <w:szCs w:val="21"/>
                <w:lang w:val="en-US" w:eastAsia="zh-CN"/>
              </w:rPr>
              <w:t>√</w:t>
            </w:r>
          </w:p>
        </w:tc>
        <w:tc>
          <w:tcPr>
            <w:tcW w:w="2015" w:type="dxa"/>
            <w:vAlign w:val="center"/>
          </w:tcPr>
          <w:p w14:paraId="6A794B0A">
            <w:pPr>
              <w:spacing w:line="300" w:lineRule="exact"/>
              <w:jc w:val="center"/>
              <w:rPr>
                <w:rFonts w:hint="eastAsia" w:ascii="仿宋_GB2312" w:hAnsi="仿宋_GB2312" w:eastAsia="仿宋_GB2312" w:cs="仿宋_GB2312"/>
                <w:sz w:val="21"/>
                <w:szCs w:val="21"/>
                <w:lang w:eastAsia="zh-CN"/>
              </w:rPr>
            </w:pPr>
          </w:p>
        </w:tc>
      </w:tr>
      <w:tr w14:paraId="41FCE6EC">
        <w:trPr>
          <w:trHeight w:val="306" w:hRule="atLeast"/>
        </w:trPr>
        <w:tc>
          <w:tcPr>
            <w:tcW w:w="691" w:type="dxa"/>
            <w:vAlign w:val="center"/>
          </w:tcPr>
          <w:p w14:paraId="7E04DE53">
            <w:pPr>
              <w:spacing w:line="300" w:lineRule="exact"/>
              <w:ind w:right="-107" w:rightChars="-51"/>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2409" w:type="dxa"/>
            <w:vAlign w:val="center"/>
          </w:tcPr>
          <w:p w14:paraId="07FF4AF9">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足球基础技战术实践</w:t>
            </w:r>
          </w:p>
        </w:tc>
        <w:tc>
          <w:tcPr>
            <w:tcW w:w="458" w:type="dxa"/>
            <w:vAlign w:val="center"/>
          </w:tcPr>
          <w:p w14:paraId="6BF8029F">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w:t>
            </w:r>
          </w:p>
        </w:tc>
        <w:tc>
          <w:tcPr>
            <w:tcW w:w="571" w:type="dxa"/>
            <w:vAlign w:val="center"/>
          </w:tcPr>
          <w:p w14:paraId="0ECED16D">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16</w:t>
            </w:r>
          </w:p>
        </w:tc>
        <w:tc>
          <w:tcPr>
            <w:tcW w:w="450" w:type="dxa"/>
            <w:vAlign w:val="center"/>
          </w:tcPr>
          <w:p w14:paraId="0899980A">
            <w:pPr>
              <w:spacing w:line="300" w:lineRule="exact"/>
              <w:jc w:val="center"/>
              <w:rPr>
                <w:rFonts w:hint="default" w:ascii="仿宋_GB2312" w:hAnsi="仿宋_GB2312" w:eastAsia="仿宋_GB2312" w:cs="仿宋_GB2312"/>
                <w:sz w:val="21"/>
                <w:szCs w:val="21"/>
                <w:lang w:val="en-US" w:eastAsia="zh-CN"/>
              </w:rPr>
            </w:pPr>
          </w:p>
        </w:tc>
        <w:tc>
          <w:tcPr>
            <w:tcW w:w="574" w:type="dxa"/>
            <w:vAlign w:val="center"/>
          </w:tcPr>
          <w:p w14:paraId="54C57C35">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16</w:t>
            </w:r>
          </w:p>
        </w:tc>
        <w:tc>
          <w:tcPr>
            <w:tcW w:w="396" w:type="dxa"/>
            <w:vAlign w:val="center"/>
          </w:tcPr>
          <w:p w14:paraId="4FFFDB49">
            <w:pPr>
              <w:spacing w:line="300" w:lineRule="exact"/>
              <w:jc w:val="center"/>
              <w:rPr>
                <w:rFonts w:hint="eastAsia" w:ascii="仿宋_GB2312" w:hAnsi="仿宋_GB2312" w:eastAsia="仿宋_GB2312" w:cs="仿宋_GB2312"/>
                <w:sz w:val="21"/>
                <w:szCs w:val="21"/>
              </w:rPr>
            </w:pPr>
          </w:p>
        </w:tc>
        <w:tc>
          <w:tcPr>
            <w:tcW w:w="409" w:type="dxa"/>
            <w:vAlign w:val="center"/>
          </w:tcPr>
          <w:p w14:paraId="3553F629">
            <w:pPr>
              <w:spacing w:line="300" w:lineRule="exact"/>
              <w:jc w:val="center"/>
              <w:rPr>
                <w:rFonts w:hint="eastAsia" w:ascii="仿宋_GB2312" w:hAnsi="仿宋_GB2312" w:eastAsia="仿宋_GB2312" w:cs="仿宋_GB2312"/>
                <w:sz w:val="21"/>
                <w:szCs w:val="21"/>
                <w:lang w:eastAsia="zh-CN"/>
              </w:rPr>
            </w:pPr>
          </w:p>
        </w:tc>
        <w:tc>
          <w:tcPr>
            <w:tcW w:w="466" w:type="dxa"/>
            <w:vAlign w:val="center"/>
          </w:tcPr>
          <w:p w14:paraId="54C99CA2">
            <w:pPr>
              <w:spacing w:line="300" w:lineRule="exact"/>
              <w:jc w:val="center"/>
              <w:rPr>
                <w:rFonts w:hint="eastAsia" w:ascii="仿宋_GB2312" w:hAnsi="仿宋_GB2312" w:eastAsia="仿宋_GB2312" w:cs="仿宋_GB2312"/>
                <w:sz w:val="21"/>
                <w:szCs w:val="21"/>
                <w:lang w:eastAsia="zh-CN"/>
              </w:rPr>
            </w:pPr>
            <w:r>
              <w:rPr>
                <w:rFonts w:hint="default" w:ascii="Arial" w:hAnsi="Arial" w:eastAsia="仿宋_GB2312" w:cs="Arial"/>
                <w:sz w:val="21"/>
                <w:szCs w:val="21"/>
                <w:lang w:val="en-US" w:eastAsia="zh-CN"/>
              </w:rPr>
              <w:t>√</w:t>
            </w:r>
          </w:p>
        </w:tc>
        <w:tc>
          <w:tcPr>
            <w:tcW w:w="2015" w:type="dxa"/>
            <w:vAlign w:val="center"/>
          </w:tcPr>
          <w:p w14:paraId="1ABF60DC">
            <w:pPr>
              <w:spacing w:line="300" w:lineRule="exact"/>
              <w:jc w:val="center"/>
              <w:rPr>
                <w:rFonts w:hint="eastAsia" w:ascii="仿宋_GB2312" w:hAnsi="仿宋_GB2312" w:eastAsia="仿宋_GB2312" w:cs="仿宋_GB2312"/>
                <w:sz w:val="21"/>
                <w:szCs w:val="21"/>
                <w:lang w:eastAsia="zh-CN"/>
              </w:rPr>
            </w:pPr>
          </w:p>
        </w:tc>
      </w:tr>
      <w:tr w14:paraId="02C00F8C">
        <w:trPr>
          <w:trHeight w:val="316" w:hRule="atLeast"/>
        </w:trPr>
        <w:tc>
          <w:tcPr>
            <w:tcW w:w="3100" w:type="dxa"/>
            <w:gridSpan w:val="2"/>
            <w:vAlign w:val="center"/>
          </w:tcPr>
          <w:p w14:paraId="3B9700BA">
            <w:pPr>
              <w:spacing w:line="300" w:lineRule="exact"/>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小计</w:t>
            </w:r>
          </w:p>
        </w:tc>
        <w:tc>
          <w:tcPr>
            <w:tcW w:w="458" w:type="dxa"/>
            <w:vAlign w:val="center"/>
          </w:tcPr>
          <w:p w14:paraId="5FEC09DA">
            <w:pPr>
              <w:spacing w:line="3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13</w:t>
            </w:r>
          </w:p>
        </w:tc>
        <w:tc>
          <w:tcPr>
            <w:tcW w:w="571" w:type="dxa"/>
            <w:vAlign w:val="center"/>
          </w:tcPr>
          <w:p w14:paraId="164866A6">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192</w:t>
            </w:r>
          </w:p>
        </w:tc>
        <w:tc>
          <w:tcPr>
            <w:tcW w:w="450" w:type="dxa"/>
            <w:vAlign w:val="center"/>
          </w:tcPr>
          <w:p w14:paraId="1F9D1583">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c>
          <w:tcPr>
            <w:tcW w:w="574" w:type="dxa"/>
            <w:vAlign w:val="center"/>
          </w:tcPr>
          <w:p w14:paraId="0505E0C8">
            <w:pPr>
              <w:spacing w:line="300" w:lineRule="exac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112</w:t>
            </w:r>
          </w:p>
        </w:tc>
        <w:tc>
          <w:tcPr>
            <w:tcW w:w="396" w:type="dxa"/>
            <w:vAlign w:val="center"/>
          </w:tcPr>
          <w:p w14:paraId="20290FA0">
            <w:pPr>
              <w:spacing w:line="300" w:lineRule="exact"/>
              <w:jc w:val="center"/>
              <w:rPr>
                <w:rFonts w:hint="eastAsia" w:ascii="仿宋_GB2312" w:hAnsi="仿宋_GB2312" w:eastAsia="仿宋_GB2312" w:cs="仿宋_GB2312"/>
                <w:sz w:val="21"/>
                <w:szCs w:val="21"/>
              </w:rPr>
            </w:pPr>
          </w:p>
        </w:tc>
        <w:tc>
          <w:tcPr>
            <w:tcW w:w="409" w:type="dxa"/>
            <w:vAlign w:val="center"/>
          </w:tcPr>
          <w:p w14:paraId="4B25F9B4">
            <w:pPr>
              <w:spacing w:line="300" w:lineRule="exact"/>
              <w:jc w:val="center"/>
              <w:rPr>
                <w:rFonts w:hint="eastAsia" w:ascii="仿宋_GB2312" w:hAnsi="仿宋_GB2312" w:eastAsia="仿宋_GB2312" w:cs="仿宋_GB2312"/>
                <w:sz w:val="21"/>
                <w:szCs w:val="21"/>
                <w:lang w:eastAsia="zh-CN"/>
              </w:rPr>
            </w:pPr>
          </w:p>
        </w:tc>
        <w:tc>
          <w:tcPr>
            <w:tcW w:w="466" w:type="dxa"/>
            <w:vAlign w:val="center"/>
          </w:tcPr>
          <w:p w14:paraId="56B68468">
            <w:pPr>
              <w:spacing w:line="300" w:lineRule="exact"/>
              <w:jc w:val="center"/>
              <w:rPr>
                <w:rFonts w:hint="eastAsia" w:ascii="仿宋_GB2312" w:hAnsi="仿宋_GB2312" w:eastAsia="仿宋_GB2312" w:cs="仿宋_GB2312"/>
                <w:sz w:val="21"/>
                <w:szCs w:val="21"/>
                <w:lang w:eastAsia="zh-CN"/>
              </w:rPr>
            </w:pPr>
          </w:p>
        </w:tc>
        <w:tc>
          <w:tcPr>
            <w:tcW w:w="2015" w:type="dxa"/>
            <w:vAlign w:val="center"/>
          </w:tcPr>
          <w:p w14:paraId="711B97DA">
            <w:pPr>
              <w:spacing w:line="300" w:lineRule="exact"/>
              <w:jc w:val="center"/>
              <w:rPr>
                <w:rFonts w:hint="eastAsia" w:ascii="仿宋_GB2312" w:hAnsi="仿宋_GB2312" w:eastAsia="仿宋_GB2312" w:cs="仿宋_GB2312"/>
                <w:sz w:val="21"/>
                <w:szCs w:val="21"/>
                <w:lang w:eastAsia="zh-CN"/>
              </w:rPr>
            </w:pPr>
          </w:p>
        </w:tc>
      </w:tr>
    </w:tbl>
    <w:p w14:paraId="456CBD3C">
      <w:pPr>
        <w:numPr>
          <w:ilvl w:val="0"/>
          <w:numId w:val="0"/>
        </w:numPr>
        <w:ind w:left="0" w:leftChars="0" w:firstLine="640" w:firstLineChars="200"/>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altName w:val="汉仪书宋二KW"/>
    <w:panose1 w:val="02010601030101010101"/>
    <w:charset w:val="86"/>
    <w:family w:val="auto"/>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6F3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C07EF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C07EF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250DD"/>
    <w:multiLevelType w:val="singleLevel"/>
    <w:tmpl w:val="CCD250D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46676"/>
    <w:rsid w:val="0A1E34A8"/>
    <w:rsid w:val="1655015F"/>
    <w:rsid w:val="1E6A0187"/>
    <w:rsid w:val="20E6621C"/>
    <w:rsid w:val="234C3509"/>
    <w:rsid w:val="342A1DF5"/>
    <w:rsid w:val="395875BD"/>
    <w:rsid w:val="3FEA46BA"/>
    <w:rsid w:val="43581E1C"/>
    <w:rsid w:val="51C922D7"/>
    <w:rsid w:val="55F84D10"/>
    <w:rsid w:val="5848684D"/>
    <w:rsid w:val="5AF10D4E"/>
    <w:rsid w:val="69547753"/>
    <w:rsid w:val="6D267B64"/>
    <w:rsid w:val="8FB9C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473</Words>
  <Characters>480</Characters>
  <Lines>0</Lines>
  <Paragraphs>0</Paragraphs>
  <TotalTime>0</TotalTime>
  <ScaleCrop>false</ScaleCrop>
  <LinksUpToDate>false</LinksUpToDate>
  <CharactersWithSpaces>480</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2025-11-05T14:04:00Z</dcterms:created>
  <dc:creator>Administrator</dc:creator>
  <cp:lastModifiedBy>WPS_1690552610</cp:lastModifiedBy>
  <dcterms:modified xsi:type="dcterms:W3CDTF">2026-10-08T19:44:16Z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2052-12.1.24709.24709</vt:lpwstr>
  </property>
  <property fmtid="{D5CDD505-2E9C-101B-9397-08002B2CF9AE}" pid="3" name="KSOTemplateDocerSaveRecord">
    <vt:lpwstr>eyJoZGlkIjoiOGZmOTg0MmU3ZWY4Y2NlMzUwMjdkMjlkMmJjYjcxMjgiLCJ1c2VySWQiOiIzNDcwMDU1MTgifQ==</vt:lpwstr>
  </property>
  <property fmtid="{D5CDD505-2E9C-101B-9397-08002B2CF9AE}" pid="4" name="ICV">
    <vt:lpwstr>2A65F8F084F2C58F1082C76A13318360_43</vt:lpwstr>
  </property>
</Properties>
</file>